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2019 44 vom 6. August 2019</w:t>
      </w:r>
    </w:p>
    <w:p>
      <w:r>
        <w:t>GR Gerichte, 2019-08-06, DE</w:t>
      </w:r>
    </w:p>
    <w:p>
      <w:r>
        <w:rPr>
          <w:b/>
        </w:rPr>
        <w:t xml:space="preserve">Quelle: </w:t>
      </w:r>
      <w:r>
        <w:t>https://mcp.opencaselaw.ch/entscheid/gr_gerichte_SK2 2019 44</w:t>
      </w:r>
    </w:p>
    <w:p>
      <w:r>
        <w:t>FR: GR_GERICHTE SK2 2019 44 du 6 août 2019</w:t>
      </w:r>
    </w:p>
    <w:p>
      <w:r>
        <w:t>IT: GR_GERICHTE SK2 2019 44 del 6 agosto 2019</w:t>
      </w:r>
    </w:p>
    <w:p>
      <w:pPr>
        <w:pStyle w:val="Heading2"/>
      </w:pPr>
      <w:r>
        <w:t>Regeste</w:t>
      </w:r>
    </w:p>
    <w:p>
      <w:r>
        <w:t>Nötigung | Beschwerde gegen StA, Nichtanhandnahmeverfügung StPO 310 (früher Ablehnungsverfügung)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7 Verfügung vom 6. August 2019 (Mit Urteil 6B_1116/2019 vom 22. Oktober 2019 ist das Bundesgericht auf die ge- gen diese Verfügung erhobene Beschwerde nicht eingetreten). Referenz SK2 19 44 Instanz II. Strafkammer Besetzung Hubert, Vorsitzender Parteien X._____ Beschwerdeführer und Y._____ Beschwerdeführer vertreten durch X._____ Knonauerstrasse 106, 6330 Cham Gegenstand Nötigung etc. Anfechtungsobj. Nichtanhandnahmeverfügung Staatsanwaltschaft Graubünden vom 22.05.2019, mitgeteilt am 23.05.2019 (Proz. Nr. EK.2017.5493) Mitteilung 12. August 2019</w:t>
      </w:r>
    </w:p>
    <w:p>
      <w:r>
        <w:rPr>
          <w:b/>
        </w:rPr>
        <w:t>E. 2</w:t>
      </w:r>
    </w:p>
    <w:p>
      <w:r>
        <w:t>/ 7 In Erwägung, – dass X._____ und Y._____ mit Eingabe vom 21. September 2017 bei der Staatsanwaltschaft Graubünden gegen die Kantonale Steuerverwaltung Graubünden und die Kantonale Finanzverwaltung Graubünden eine Strafan- zeige "zufolge versuchter Nötigung und Erpressung" einreichten (Akten Staatsanwaltschaft, act. 1), – dass sie den genannten Behörden im Wesentlichen vorwarfen, sie hätten am 23. Januar 2017 Y._____ im Zusammenhang mit einer Grundstückgewinn- steuer in ungerechtfertigter Weise bzw. in falschem Umfang betrieben, – dass die Strafanzeige sowohl von Y._____ wie auch von X._____ unterzeich- net wurde und Y._____ zudem seinen Vater X._____ schriftlich bevollmächtig- te, ihn in dieser Sache zu vertreten (Akten Staatsanwaltschaft, Anhang zu act. 1), – dass X._____ am 2. Oktober 2017 bei der Staatsanwaltschaft Graubünden eine weitere Strafanzeige gegen die Kantonale Steuerverwaltung sowie na- mentlich gegen deren Mitarbeiter A._____ einreichte (Akten Staatsanwalt- schaft, act. 2), – dass er Letzterem vorwarf, ihm am 26. September 2017 im Zusammenhang mit der strittigen Grundstückgewinnsteuer einen schriftlichen Vergleichsvor- schlag unterbreitet zu haben, der nicht dem zuvor mündlich Vereinbarten ent- sprochen habe, – dass der Vergleichsvorschlag überdies einen Rechtsmittelverzicht für einen in Aussicht gestellten Revisionsentscheid enthalten habe, was einer Nötigung und Erpressung gleichkomme, – dass die Staatsanwaltschaft mit Schreiben vom 9. Oktober 2017 X._____ auf- forderte, seine Vorwürfe zu konkretisieren und zu belegen, – dass X._____ mit Schreiben vom 24. Oktober 2017 seine in den beiden An- zeigen erhobenen Vorwürfe wiederholte und namentlich die Berechnung der Grundstückgewinnsteuer beanstandete, – dass er zudem ein Schreiben der Steuerverwaltung vom 26. September 2017 mit der bemängelten Veranlagung der Grundstückgewinnsteuer und dem strit- tigen Vergleichsvorschlag einreichte (Akten Staatsanwaltschaft, act. 4),</w:t>
      </w:r>
    </w:p>
    <w:p>
      <w:r>
        <w:rPr>
          <w:b/>
        </w:rPr>
        <w:t>E. 3</w:t>
      </w:r>
    </w:p>
    <w:p>
      <w:r>
        <w:t>/ 7 – dass X._____ mit Schreiben vom 19. Februar 2019 gegenüber dem Ersten Staatsanwalt von Graubünden seinen Unmut über die Behandlung seiner Be- schwerde vom 28. November 2018 an die Steuerverwaltung Graubünden äus- serte und gleichzeitig drei Departementsvorsteher, den Ersten Staatsanwalt, die Finanzverwaltung, die Steuerverwaltung sowie das Verwaltungsgericht des Kantons Graubünden als beschuldigt bezeichnete, – dass die Staatsanwaltschaft Graubünden am 22. Mai 2019 eine Nichtanhand- nahmeverfügung erliess, – dass sie in der Begründung ausführte, die von den Anzeigeerstattern erhobe- nen Vorwürfe brächten mehr eine Unzufriedenheit mit der Veranlagung der Grundstückgewinnsteuer zum Ausdruck, als dass sie auch nur minimale An- haltspunkte für ein strafbares Verhalten der beschuldigten Behörden und Per- sonen zu liefern vermöchten, – dass es die Anzeigeerstatter auch auf die Aufforderung der Staatsanwaltschaft hin unterlassen hätten, ihre strafrechtlichen Vorwürfe zu konkretisieren, – dass daher gestützt auf Art. 310 Abs. 1 lit. a StPO die Eröffnung eines Straf- verfahrens abgelehnt werde, – dass X._____ gegen die Nichtanhandnahmeverfügung mit Eingabe vom 6. Juni 2019 "Einspruch" (recte Beschwerde) bei der Staatsanwaltschaft Graubünden erhob, – dass er zur Begründung auf eine von ihm in Vertretung seines Sohnes Y._____ gleichentags beim Verwaltungsgericht Graubünden eingereichte Be- schwerde gegen einen Entscheid des Departements für Finanzen und Ge- meinden Graubünden vom 16. Mai 2019 verwies, – dass die Staatsanwaltschaft die Beschwerde am 11. Juni 2019 zuständig- keitshalber an das Kantonsgericht von Graubünden weiterleitete (Akten Kan- tonsgericht, act. D.1, A.1 und B.1), – dass der Eingabe nicht eindeutig zu entnehmen ist, ob X._____ sie in eigenem Namen, im Namen seines Sohnes Y._____ oder in beider Namen eingereicht hatte, – dass er nämlich die Eingabe selbst in eigenem Namen formulierte, gleichzeitig aber zur Begründung auf Beilagen verwies, die er in Vertretung seines Sohnes</w:t>
      </w:r>
    </w:p>
    <w:p>
      <w:r>
        <w:rPr>
          <w:b/>
        </w:rPr>
        <w:t>E. 4</w:t>
      </w:r>
    </w:p>
    <w:p>
      <w:r>
        <w:t>/ 7 abgefasst hatte, und die die Annahme nahelegen, dass er wohl (auch) im Na- men seines Sohnes Beschwerde erheben wollte, – dass X._____ aufgrund dessen zu einer Klarstellung aufgefordert wurde, – dass Y._____ durch Unterzeichnung eines von X._____ aufgesetzten Schrei- bens vom 27. Juli 2019 bestätigte, dass sein Vater bevollmächtigt sei, ihn in dieser Sache zu vertreten, womit er als Beschwerdeführer zu betrachten ist (Akten Kantonsgericht, act. D.6; vgl. auch Vollmacht vom 21. September 2017, Akten Staatsanwaltschaft, Anhang zu act. 1), – dass X._____ ebenfalls als Beschwerdeführer aufzuführen ist, zumal er seine Eingaben immer auch in eigenem Namen abfasste und die dem vorliegenden Beschwerdeverfahren zugrundeliegenden Strafanzeigen sowohl von X._____ wie auch von Y._____ eingereicht wurden und beide in der angefochtenen Nichtanhandnahmeverfügung als Anzeigeerstatter aufgeführt wurden, – dass eine strafrechtliche Beschwerde gemäss Art. 393 ff. StPO zu begründen ist (Art. 396 StPO), – dass in der Begründung genau anzugeben ist, welche Punkte des Entscheids angefochten werden, welche Gründe einen anderen Entscheid nahe legen und welche Beweismittel angerufen werden (Art. 385 Abs. 1 StPO), – dass sich die Beschwerdebegründung zumindest in minimaler Form mit der angefochtenen Verfügung auseinanderzusetzen hat (vgl. Patrick Guidon, Die Beschwerde gemäss Schweizerischer Strafprozessordnung, Zürich/St. Gallen 2011, N 392 mit Hinweis auf BGE 131 II 449 E. 1.3), – dass auch von einem Laien eine fristgerechte und rechtsgenügend begründe- te Beschwerdeschrift erwartet werden kann (vgl. Urteil des Bundesgerichts 6B_872/2013 vom 17. Oktober 2013 E. 3; Patrick Guidon, in: Nigg- li/Heer/Wiprächtiger [Hrsg.], Basler Kommentar StPO, 2. Auflage, Basel 2014, N 9e zu Art. 396 StPO), – dass der Vorsitzende der II. Strafkammer des Kantonsgerichts von Graubün- den die Beschwerdeführer mit Schreiben vom 17. Juni 2019 auf die Begrün- dungsanforderungen nach Art. 385 Abs. 1 StPO hinwies und festhielt, dass ih- re Eingabe diesen Anforderungen nicht entspreche, – dass er den Beschwerdeführern gestützt auf Art. 385 Abs. 2 StPO eine Nach- frist zur Verbesserung ihrer Eingabe ansetzte,</w:t>
      </w:r>
    </w:p>
    <w:p>
      <w:r>
        <w:rPr>
          <w:b/>
        </w:rPr>
        <w:t>E. 5</w:t>
      </w:r>
    </w:p>
    <w:p>
      <w:r>
        <w:t>/ 7 – dass die Beschwerdeführer dabei ausdrücklich auf die Säumnisfolgen nach Art. 385 Abs. 2 StPO hingewiesen wurden, wonach die Rechtsmittelinstanz auf das Rechtsmittel nicht eintritt, wenn die Eingabe auch nach Ablauf der Nachfrist den Anforderungen nicht genügt (Akten Kantonsgericht, act. D.2), – dass die Beschwerdeführer innert der angesetzten Nachfrist am 21. Juni 2019 eine überarbeitete Beschwerde beim Kantonsgericht einreichten, – dass die Beschwerdeführer auch in dieser Eingabe weder in den Anträgen noch in der Begründung auf die angefochtene Nichtanhandnahmeverfügung eingehen, geschweige denn sich mit deren Erwägungen auseinandersetzen, – dass sich die Beschwerdeführer vielmehr ausschliesslich auf den ihnen offen- bar nicht genehmen Entscheid des Departements für Finanzen und Gemein- den Graubünden vom 16. Mai 2019 beziehen, – dass einzig auf S. 4 der Eingabe ein strafrechtlicher Hinweis zu finden ist, wo- nach die Beschwerdeführer den von der Steuerverwaltung unterbreiteten Ver- gleichsvorschlag offenbar nach wie vor als Nötigung und Erpressung einstu- fen, – dass sie indessen auch in der Beschwerde nicht weiter substantiieren, inwie- weit das den angeschuldigten Behörden und Personen vorgeworfene Verhal- ten entgegen den Erwägungen der Staatsanwaltschaft einen dieser Straftat- bestände erfüllen soll, – dass damit die Beschwerde den gesetzlichen Begründungsanforderungen nicht genügt, weshalb darauf nicht einzutreten ist, – dass im Übrigen nicht ansatzweise erkennbar ist, inwieweit durch das den verzeigten Behörden und Personen vorgeworfene Verhalten ein Straftatbe- stand erfüllt sein soll, womit die Beschwerde bei einem Eintreten ohnehin ab- zuweisen wäre, – dass die Beschwerdeführer demzufolge als unterliegende Parteien kosten- pflichtig werden (Art. 428 Abs. 1 StPO), – dass nach Art. 8 der Verordnung über die Gerichtsgebühren in Strafverfahren (VGS; BR 350.210) für Entscheide im Beschwerdeverfahren eine Gebühr zwi- schen CHF 1'000.00 und CHF 5'000.00 zu erheben ist,</w:t>
      </w:r>
    </w:p>
    <w:p>
      <w:r>
        <w:rPr>
          <w:b/>
        </w:rPr>
        <w:t>E. 6</w:t>
      </w:r>
    </w:p>
    <w:p>
      <w:r>
        <w:t>/ 7 – dass vorliegend eine Gerichtsgebühr von CHF 1'000.00 als angemessen er- scheint, – dass der vorliegende Entscheid gestützt auf Art. 18 Abs. 3 des Gerichtsorga- nisationsgesetzes (GOG; BR 173.000) in einzelrichterlicher Kompetenz er- geht,</w:t>
      </w:r>
    </w:p>
    <w:p>
      <w:r>
        <w:rPr>
          <w:b/>
        </w:rPr>
        <w:t>E. 7</w:t>
      </w:r>
    </w:p>
    <w:p>
      <w:r>
        <w:t>/ 7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